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4585"/>
        <w:gridCol w:w="4590"/>
        <w:gridCol w:w="5081"/>
      </w:tblGrid>
      <w:tr w:rsidR="001816D2" w:rsidRPr="00C30E4E" w14:paraId="3C6E3963" w14:textId="77777777" w:rsidTr="00F21F74">
        <w:trPr>
          <w:trHeight w:val="647"/>
        </w:trPr>
        <w:tc>
          <w:tcPr>
            <w:tcW w:w="4585" w:type="dxa"/>
            <w:vAlign w:val="center"/>
          </w:tcPr>
          <w:p w14:paraId="0E394E5A"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Standard Focus</w:t>
            </w:r>
          </w:p>
        </w:tc>
        <w:tc>
          <w:tcPr>
            <w:tcW w:w="4590" w:type="dxa"/>
            <w:vAlign w:val="center"/>
          </w:tcPr>
          <w:p w14:paraId="477F9C33"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Activity</w:t>
            </w:r>
          </w:p>
        </w:tc>
        <w:tc>
          <w:tcPr>
            <w:tcW w:w="5081" w:type="dxa"/>
            <w:vAlign w:val="center"/>
          </w:tcPr>
          <w:p w14:paraId="05983D24"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Home Extension Activity</w:t>
            </w:r>
          </w:p>
        </w:tc>
      </w:tr>
      <w:tr w:rsidR="001816D2" w:rsidRPr="00C30E4E" w14:paraId="1A1A9740" w14:textId="77777777" w:rsidTr="00F21F74">
        <w:trPr>
          <w:trHeight w:val="2087"/>
        </w:trPr>
        <w:tc>
          <w:tcPr>
            <w:tcW w:w="4585" w:type="dxa"/>
          </w:tcPr>
          <w:p w14:paraId="69C2C548" w14:textId="39093985" w:rsidR="00FD1BB4" w:rsidRPr="00F21F74" w:rsidRDefault="00F21F74" w:rsidP="00F21F74">
            <w:pPr>
              <w:pStyle w:val="ListParagraph"/>
              <w:numPr>
                <w:ilvl w:val="0"/>
                <w:numId w:val="1"/>
              </w:numPr>
              <w:ind w:left="576" w:hanging="432"/>
              <w:rPr>
                <w:rFonts w:ascii="KG Primary Penmanship 2" w:hAnsi="KG Primary Penmanship 2"/>
              </w:rPr>
            </w:pPr>
            <w:r w:rsidRPr="00F21F74">
              <w:rPr>
                <w:rFonts w:ascii="KG Primary Penmanship 2" w:hAnsi="KG Primary Penmanship 2"/>
              </w:rPr>
              <w:t>Counts and identifies the number sequence “1 to 10”</w:t>
            </w:r>
          </w:p>
        </w:tc>
        <w:tc>
          <w:tcPr>
            <w:tcW w:w="4590" w:type="dxa"/>
          </w:tcPr>
          <w:p w14:paraId="0AFE05CD" w14:textId="77777777" w:rsidR="00A228C3" w:rsidRDefault="00F21F74" w:rsidP="00F21F74">
            <w:pPr>
              <w:rPr>
                <w:rFonts w:ascii="KG Primary Penmanship 2" w:hAnsi="KG Primary Penmanship 2"/>
                <w:szCs w:val="24"/>
              </w:rPr>
            </w:pPr>
            <w:r>
              <w:rPr>
                <w:noProof/>
                <w:sz w:val="21"/>
              </w:rPr>
              <w:drawing>
                <wp:anchor distT="0" distB="0" distL="114300" distR="114300" simplePos="0" relativeHeight="251660288" behindDoc="0" locked="0" layoutInCell="1" allowOverlap="1" wp14:anchorId="4100661F" wp14:editId="147FFF37">
                  <wp:simplePos x="0" y="0"/>
                  <wp:positionH relativeFrom="column">
                    <wp:posOffset>1587910</wp:posOffset>
                  </wp:positionH>
                  <wp:positionV relativeFrom="paragraph">
                    <wp:posOffset>340</wp:posOffset>
                  </wp:positionV>
                  <wp:extent cx="1124880" cy="1295400"/>
                  <wp:effectExtent l="0" t="0" r="5715" b="0"/>
                  <wp:wrapSquare wrapText="bothSides"/>
                  <wp:docPr id="8" name="Picture 8" descr="A picture containing text, indoor, person,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indoor, person, ha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4880" cy="1295400"/>
                          </a:xfrm>
                          <a:prstGeom prst="rect">
                            <a:avLst/>
                          </a:prstGeom>
                        </pic:spPr>
                      </pic:pic>
                    </a:graphicData>
                  </a:graphic>
                  <wp14:sizeRelH relativeFrom="page">
                    <wp14:pctWidth>0</wp14:pctWidth>
                  </wp14:sizeRelH>
                  <wp14:sizeRelV relativeFrom="page">
                    <wp14:pctHeight>0</wp14:pctHeight>
                  </wp14:sizeRelV>
                </wp:anchor>
              </w:drawing>
            </w:r>
            <w:r w:rsidRPr="00F21F74">
              <w:rPr>
                <w:rFonts w:ascii="KG Primary Penmanship 2" w:hAnsi="KG Primary Penmanship 2"/>
                <w:szCs w:val="24"/>
              </w:rPr>
              <w:t>Making trains – Number recognition</w:t>
            </w:r>
          </w:p>
          <w:p w14:paraId="527A8242" w14:textId="77777777" w:rsidR="00F21F74" w:rsidRDefault="00F21F74" w:rsidP="00F21F74">
            <w:pPr>
              <w:rPr>
                <w:rFonts w:ascii="KG Primary Penmanship 2" w:hAnsi="KG Primary Penmanship 2"/>
                <w:szCs w:val="24"/>
              </w:rPr>
            </w:pPr>
          </w:p>
          <w:p w14:paraId="76D0BE04" w14:textId="4E31403F" w:rsidR="00F21F74" w:rsidRPr="00C30E4E" w:rsidRDefault="00F21F74" w:rsidP="00F21F74">
            <w:pPr>
              <w:rPr>
                <w:rFonts w:ascii="KG Primary Penmanship 2" w:hAnsi="KG Primary Penmanship 2"/>
                <w:szCs w:val="24"/>
              </w:rPr>
            </w:pPr>
          </w:p>
        </w:tc>
        <w:tc>
          <w:tcPr>
            <w:tcW w:w="5081" w:type="dxa"/>
            <w:tcBorders>
              <w:bottom w:val="single" w:sz="4" w:space="0" w:color="auto"/>
            </w:tcBorders>
          </w:tcPr>
          <w:p w14:paraId="41169338" w14:textId="7D94CDE8" w:rsidR="00A228C3" w:rsidRPr="00C30E4E" w:rsidRDefault="00F21F74" w:rsidP="00634D7B">
            <w:pPr>
              <w:ind w:left="288"/>
              <w:rPr>
                <w:rFonts w:ascii="KG Primary Penmanship 2" w:hAnsi="KG Primary Penmanship 2"/>
                <w:szCs w:val="24"/>
              </w:rPr>
            </w:pPr>
            <w:r>
              <w:rPr>
                <w:rFonts w:ascii="KG Primary Penmanship 2" w:hAnsi="KG Primary Penmanship 2"/>
                <w:szCs w:val="24"/>
              </w:rPr>
              <w:t>Have your child count whenever possible!</w:t>
            </w:r>
            <w:r w:rsidR="00F468C1">
              <w:rPr>
                <w:rFonts w:ascii="KG Primary Penmanship 2" w:hAnsi="KG Primary Penmanship 2"/>
                <w:szCs w:val="24"/>
              </w:rPr>
              <w:t xml:space="preserve"> They can count the number of crackers they are having for snack, the number of socks in the laundry, the number of books on the shelf.  You could write numbers on index card and have your child park that many cars on the card or put that many blocks on the card. The possibilities are endless!</w:t>
            </w:r>
          </w:p>
        </w:tc>
      </w:tr>
      <w:tr w:rsidR="001816D2" w:rsidRPr="00C30E4E" w14:paraId="7D0E986F" w14:textId="77777777" w:rsidTr="00F21F74">
        <w:trPr>
          <w:trHeight w:val="1584"/>
        </w:trPr>
        <w:tc>
          <w:tcPr>
            <w:tcW w:w="4585" w:type="dxa"/>
          </w:tcPr>
          <w:p w14:paraId="4B8D9272" w14:textId="400ED0DB" w:rsidR="00B4425A" w:rsidRDefault="00B4425A" w:rsidP="00B4425A">
            <w:pPr>
              <w:pStyle w:val="ListParagraph"/>
              <w:numPr>
                <w:ilvl w:val="0"/>
                <w:numId w:val="1"/>
              </w:numPr>
              <w:ind w:left="576" w:hanging="432"/>
              <w:rPr>
                <w:rFonts w:ascii="KG Primary Penmanship 2" w:hAnsi="KG Primary Penmanship 2"/>
                <w:bCs/>
              </w:rPr>
            </w:pPr>
            <w:r w:rsidRPr="00B4425A">
              <w:rPr>
                <w:rFonts w:ascii="KG Primary Penmanship 2" w:hAnsi="KG Primary Penmanship 2"/>
                <w:bCs/>
              </w:rPr>
              <w:t xml:space="preserve">Recognizes and names typical </w:t>
            </w:r>
            <w:r w:rsidRPr="00B4425A">
              <w:rPr>
                <w:rFonts w:ascii="KG Primary Penmanship 2" w:hAnsi="KG Primary Penmanship 2"/>
              </w:rPr>
              <w:t>shapes</w:t>
            </w:r>
            <w:r w:rsidRPr="00B4425A">
              <w:rPr>
                <w:rFonts w:ascii="KG Primary Penmanship 2" w:hAnsi="KG Primary Penmanship 2"/>
                <w:bCs/>
              </w:rPr>
              <w:t xml:space="preserve"> (circle, square, triangle)</w:t>
            </w:r>
          </w:p>
          <w:p w14:paraId="16CA7827" w14:textId="77777777" w:rsidR="00B4425A" w:rsidRPr="00B4425A" w:rsidRDefault="00B4425A" w:rsidP="00B4425A">
            <w:pPr>
              <w:pStyle w:val="ListParagraph"/>
              <w:numPr>
                <w:ilvl w:val="0"/>
                <w:numId w:val="1"/>
              </w:numPr>
              <w:ind w:left="576" w:hanging="432"/>
              <w:rPr>
                <w:rFonts w:ascii="KG Primary Penmanship 2" w:hAnsi="KG Primary Penmanship 2"/>
                <w:bCs/>
              </w:rPr>
            </w:pPr>
            <w:r w:rsidRPr="00B4425A">
              <w:rPr>
                <w:rFonts w:ascii="KG Primary Penmanship 2" w:hAnsi="KG Primary Penmanship 2"/>
                <w:bCs/>
              </w:rPr>
              <w:t>Matches a wider variety of shapes and orientations</w:t>
            </w:r>
          </w:p>
          <w:p w14:paraId="136F2B98" w14:textId="77777777" w:rsidR="00B4425A" w:rsidRPr="00B4425A" w:rsidRDefault="00B4425A" w:rsidP="00B4425A">
            <w:pPr>
              <w:pStyle w:val="ListParagraph"/>
              <w:ind w:left="576"/>
              <w:rPr>
                <w:rFonts w:ascii="KG Primary Penmanship 2" w:hAnsi="KG Primary Penmanship 2"/>
                <w:bCs/>
              </w:rPr>
            </w:pPr>
          </w:p>
          <w:p w14:paraId="092925CE" w14:textId="3F5B9D83" w:rsidR="00A228C3" w:rsidRPr="00A1138E" w:rsidRDefault="00A228C3" w:rsidP="00B4425A">
            <w:pPr>
              <w:pStyle w:val="ListParagraph"/>
              <w:spacing w:line="240" w:lineRule="auto"/>
              <w:ind w:left="576"/>
              <w:rPr>
                <w:rFonts w:ascii="KG Primary Penmanship 2" w:hAnsi="KG Primary Penmanship 2"/>
                <w:bCs/>
              </w:rPr>
            </w:pPr>
          </w:p>
        </w:tc>
        <w:tc>
          <w:tcPr>
            <w:tcW w:w="4590" w:type="dxa"/>
          </w:tcPr>
          <w:p w14:paraId="1FF9B897" w14:textId="77777777" w:rsidR="00A228C3" w:rsidRDefault="00B4425A" w:rsidP="00F7312D">
            <w:pPr>
              <w:ind w:left="288"/>
              <w:rPr>
                <w:rFonts w:ascii="KG Primary Penmanship 2" w:hAnsi="KG Primary Penmanship 2"/>
                <w:szCs w:val="24"/>
              </w:rPr>
            </w:pPr>
            <w:r w:rsidRPr="00B4425A">
              <w:rPr>
                <w:rFonts w:ascii="KG Primary Penmanship 2" w:hAnsi="KG Primary Penmanship 2"/>
                <w:szCs w:val="24"/>
              </w:rPr>
              <w:t>Sponge Paint Train</w:t>
            </w:r>
          </w:p>
          <w:p w14:paraId="0A9C021E" w14:textId="4A2B4DD3" w:rsidR="00B4425A" w:rsidRPr="00C30E4E" w:rsidRDefault="00B4425A" w:rsidP="00F7312D">
            <w:pPr>
              <w:ind w:left="288"/>
              <w:rPr>
                <w:rFonts w:ascii="KG Primary Penmanship 2" w:hAnsi="KG Primary Penmanship 2"/>
                <w:szCs w:val="24"/>
              </w:rPr>
            </w:pPr>
            <w:r>
              <w:rPr>
                <w:noProof/>
                <w:sz w:val="21"/>
              </w:rPr>
              <w:drawing>
                <wp:inline distT="0" distB="0" distL="0" distR="0" wp14:anchorId="7A5570BD" wp14:editId="3AD301BD">
                  <wp:extent cx="1524000" cy="482177"/>
                  <wp:effectExtent l="0" t="0" r="0" b="635"/>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165" cy="490772"/>
                          </a:xfrm>
                          <a:prstGeom prst="rect">
                            <a:avLst/>
                          </a:prstGeom>
                        </pic:spPr>
                      </pic:pic>
                    </a:graphicData>
                  </a:graphic>
                </wp:inline>
              </w:drawing>
            </w:r>
          </w:p>
        </w:tc>
        <w:tc>
          <w:tcPr>
            <w:tcW w:w="5081" w:type="dxa"/>
            <w:tcBorders>
              <w:bottom w:val="single" w:sz="4" w:space="0" w:color="auto"/>
            </w:tcBorders>
          </w:tcPr>
          <w:p w14:paraId="1E09E7CE" w14:textId="17D703C7" w:rsidR="00A228C3" w:rsidRPr="00C30E4E" w:rsidRDefault="00B4425A" w:rsidP="00634D7B">
            <w:pPr>
              <w:ind w:left="288"/>
              <w:rPr>
                <w:rFonts w:ascii="KG Primary Penmanship 2" w:hAnsi="KG Primary Penmanship 2"/>
                <w:szCs w:val="24"/>
              </w:rPr>
            </w:pPr>
            <w:r>
              <w:rPr>
                <w:rFonts w:ascii="KG Primary Penmanship 2" w:hAnsi="KG Primary Penmanship 2"/>
                <w:szCs w:val="24"/>
              </w:rPr>
              <w:t>Let your child make a train at home.  Use the attached shapes and some glue and sit back and see what they create.  Talk about the shapes they are using; how do they look the same and different.</w:t>
            </w:r>
          </w:p>
        </w:tc>
      </w:tr>
      <w:tr w:rsidR="001816D2" w:rsidRPr="00C30E4E" w14:paraId="0210068E" w14:textId="77777777" w:rsidTr="00F21F74">
        <w:trPr>
          <w:trHeight w:val="2753"/>
        </w:trPr>
        <w:tc>
          <w:tcPr>
            <w:tcW w:w="4585" w:type="dxa"/>
          </w:tcPr>
          <w:p w14:paraId="3F045896" w14:textId="187CA2AF" w:rsidR="00A228C3" w:rsidRPr="00A1138E" w:rsidRDefault="00B4425A" w:rsidP="00A1138E">
            <w:pPr>
              <w:pStyle w:val="ListParagraph"/>
              <w:numPr>
                <w:ilvl w:val="0"/>
                <w:numId w:val="1"/>
              </w:numPr>
              <w:spacing w:line="240" w:lineRule="auto"/>
              <w:ind w:left="576" w:hanging="432"/>
              <w:rPr>
                <w:rFonts w:ascii="KG Primary Penmanship 2" w:hAnsi="KG Primary Penmanship 2"/>
                <w:bCs/>
              </w:rPr>
            </w:pPr>
            <w:r w:rsidRPr="00B4425A">
              <w:rPr>
                <w:rFonts w:ascii="KG Primary Penmanship 2" w:hAnsi="KG Primary Penmanship 2"/>
                <w:bCs/>
              </w:rPr>
              <w:t>Recognizes and names typical shapes (circle, square, triangle)</w:t>
            </w:r>
          </w:p>
        </w:tc>
        <w:tc>
          <w:tcPr>
            <w:tcW w:w="4590" w:type="dxa"/>
            <w:tcBorders>
              <w:right w:val="single" w:sz="4" w:space="0" w:color="auto"/>
            </w:tcBorders>
          </w:tcPr>
          <w:p w14:paraId="2BCDDD0A" w14:textId="77777777" w:rsidR="00A228C3" w:rsidRDefault="00B4425A" w:rsidP="0070006F">
            <w:pPr>
              <w:ind w:left="288"/>
              <w:rPr>
                <w:rFonts w:ascii="KG Primary Penmanship 2" w:hAnsi="KG Primary Penmanship 2"/>
                <w:szCs w:val="24"/>
              </w:rPr>
            </w:pPr>
            <w:r w:rsidRPr="00B4425A">
              <w:rPr>
                <w:rFonts w:ascii="KG Primary Penmanship 2" w:hAnsi="KG Primary Penmanship 2"/>
                <w:szCs w:val="24"/>
              </w:rPr>
              <w:t>Which Shape Does Not Belong Game</w:t>
            </w:r>
          </w:p>
          <w:p w14:paraId="0DF5FCFA" w14:textId="00538D4F" w:rsidR="00B4425A" w:rsidRPr="00C30E4E" w:rsidRDefault="00B4425A" w:rsidP="0070006F">
            <w:pPr>
              <w:ind w:left="288"/>
              <w:rPr>
                <w:rFonts w:ascii="KG Primary Penmanship 2" w:hAnsi="KG Primary Penmanship 2"/>
                <w:szCs w:val="24"/>
              </w:rPr>
            </w:pPr>
            <w:r>
              <w:rPr>
                <w:noProof/>
                <w:sz w:val="21"/>
              </w:rPr>
              <w:drawing>
                <wp:inline distT="0" distB="0" distL="0" distR="0" wp14:anchorId="2060BB9C" wp14:editId="3A0A1415">
                  <wp:extent cx="1321486" cy="977900"/>
                  <wp:effectExtent l="0" t="0" r="0" b="0"/>
                  <wp:docPr id="9" name="Picture 9" descr="Qr cod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Qr code&#10;&#10;Description automatically generated with low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7856" cy="982614"/>
                          </a:xfrm>
                          <a:prstGeom prst="rect">
                            <a:avLst/>
                          </a:prstGeom>
                        </pic:spPr>
                      </pic:pic>
                    </a:graphicData>
                  </a:graphic>
                </wp:inline>
              </w:drawing>
            </w:r>
          </w:p>
        </w:tc>
        <w:tc>
          <w:tcPr>
            <w:tcW w:w="5081" w:type="dxa"/>
            <w:tcBorders>
              <w:top w:val="single" w:sz="4" w:space="0" w:color="auto"/>
              <w:left w:val="single" w:sz="4" w:space="0" w:color="auto"/>
              <w:bottom w:val="single" w:sz="4" w:space="0" w:color="auto"/>
              <w:right w:val="single" w:sz="4" w:space="0" w:color="auto"/>
            </w:tcBorders>
          </w:tcPr>
          <w:p w14:paraId="30F6AB22" w14:textId="78C2016F" w:rsidR="00A1138E" w:rsidRPr="00C30E4E" w:rsidRDefault="00B4425A" w:rsidP="00634D7B">
            <w:pPr>
              <w:ind w:left="288"/>
              <w:rPr>
                <w:rFonts w:ascii="KG Primary Penmanship 2" w:hAnsi="KG Primary Penmanship 2"/>
                <w:szCs w:val="24"/>
              </w:rPr>
            </w:pPr>
            <w:r>
              <w:rPr>
                <w:rFonts w:ascii="KG Primary Penmanship 2" w:hAnsi="KG Primary Penmanship 2"/>
                <w:szCs w:val="24"/>
              </w:rPr>
              <w:t xml:space="preserve">Noticing the differences between objects is an important skill.  During your normal routine start to point out differences such as Dad’s car has four doors and Mom’s has two. Or ask your child what is different between the two objects. Also put out three or four objects making sure that one does not belong and ask your child to tell you which one is wrong and </w:t>
            </w:r>
            <w:r w:rsidRPr="00B4425A">
              <w:rPr>
                <w:rFonts w:ascii="KG Primary Penmanship 2" w:hAnsi="KG Primary Penmanship 2"/>
                <w:b/>
                <w:bCs/>
                <w:szCs w:val="24"/>
              </w:rPr>
              <w:t>why.</w:t>
            </w:r>
            <w:r>
              <w:rPr>
                <w:rFonts w:ascii="KG Primary Penmanship 2" w:hAnsi="KG Primary Penmanship 2"/>
                <w:szCs w:val="24"/>
              </w:rPr>
              <w:t xml:space="preserve">  Don’t let them just point at the object.</w:t>
            </w:r>
          </w:p>
        </w:tc>
      </w:tr>
    </w:tbl>
    <w:p w14:paraId="7D810A8A" w14:textId="3BA7B229" w:rsidR="001D376D" w:rsidRPr="00C30E4E" w:rsidRDefault="00A228C3" w:rsidP="00A228C3">
      <w:pPr>
        <w:spacing w:before="120" w:after="100" w:afterAutospacing="1"/>
        <w:rPr>
          <w:rFonts w:ascii="KG Primary Penmanship 2" w:hAnsi="KG Primary Penmanship 2"/>
        </w:rPr>
      </w:pPr>
      <w:r w:rsidRPr="00C30E4E">
        <w:rPr>
          <w:rFonts w:ascii="KG Primary Penmanship 2" w:hAnsi="KG Primary Penmanship 2"/>
          <w:b/>
          <w:bCs/>
        </w:rPr>
        <w:t>Parent Resources:</w:t>
      </w:r>
      <w:r w:rsidRPr="00C30E4E">
        <w:rPr>
          <w:rFonts w:ascii="KG Primary Penmanship 2" w:hAnsi="KG Primary Penmanship 2"/>
        </w:rPr>
        <w:t xml:space="preserve"> </w:t>
      </w:r>
      <w:r w:rsidR="00A1138E">
        <w:rPr>
          <w:rFonts w:ascii="KG Primary Penmanship 2" w:hAnsi="KG Primary Penmanship 2"/>
        </w:rPr>
        <w:t xml:space="preserve">Focus for the weeks is </w:t>
      </w:r>
      <w:r w:rsidR="00B4425A">
        <w:rPr>
          <w:rFonts w:ascii="KG Primary Penmanship 2" w:hAnsi="KG Primary Penmanship 2"/>
        </w:rPr>
        <w:t>trains along with circles, cubes, squares and rectangles.</w:t>
      </w:r>
      <w:r w:rsidR="0070006F" w:rsidRPr="00C30E4E">
        <w:rPr>
          <w:rFonts w:ascii="KG Primary Penmanship 2" w:hAnsi="KG Primary Penmanship 2"/>
        </w:rPr>
        <w:t xml:space="preserve">  </w:t>
      </w:r>
    </w:p>
    <w:sectPr w:rsidR="001D376D" w:rsidRPr="00C30E4E" w:rsidSect="00A228C3">
      <w:headerReference w:type="default" r:id="rId11"/>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FFE2" w14:textId="77777777" w:rsidR="008A72FC" w:rsidRDefault="008A72FC" w:rsidP="00A228C3">
      <w:r>
        <w:separator/>
      </w:r>
    </w:p>
  </w:endnote>
  <w:endnote w:type="continuationSeparator" w:id="0">
    <w:p w14:paraId="0F50366F" w14:textId="77777777" w:rsidR="008A72FC" w:rsidRDefault="008A72FC"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6BD4" w14:textId="77777777" w:rsidR="008A72FC" w:rsidRDefault="008A72FC" w:rsidP="00A228C3">
      <w:r>
        <w:separator/>
      </w:r>
    </w:p>
  </w:footnote>
  <w:footnote w:type="continuationSeparator" w:id="0">
    <w:p w14:paraId="31353ACA" w14:textId="77777777" w:rsidR="008A72FC" w:rsidRDefault="008A72FC"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4D05" w14:textId="48832EE5" w:rsidR="001753EE"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 xml:space="preserve">Preschool </w:t>
    </w:r>
    <w:r w:rsidR="00F21F74">
      <w:rPr>
        <w:rFonts w:ascii="KG Primary Penmanship 2" w:hAnsi="KG Primary Penmanship 2"/>
        <w:sz w:val="32"/>
        <w:szCs w:val="32"/>
      </w:rPr>
      <w:t>1/2</w:t>
    </w:r>
    <w:r w:rsidRPr="00A228C3">
      <w:rPr>
        <w:rFonts w:ascii="KG Primary Penmanship 2" w:hAnsi="KG Primary Penmanship 2"/>
        <w:sz w:val="32"/>
        <w:szCs w:val="32"/>
      </w:rPr>
      <w:t>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F21F74">
      <w:rPr>
        <w:rFonts w:ascii="KG Primary Penmanship 2" w:hAnsi="KG Primary Penmanship 2"/>
        <w:sz w:val="32"/>
        <w:szCs w:val="32"/>
      </w:rPr>
      <w:t>May 9,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A04E3D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12660D"/>
    <w:rsid w:val="001753EE"/>
    <w:rsid w:val="001816D2"/>
    <w:rsid w:val="00243F97"/>
    <w:rsid w:val="003410B5"/>
    <w:rsid w:val="00347CE9"/>
    <w:rsid w:val="0035540B"/>
    <w:rsid w:val="00391F71"/>
    <w:rsid w:val="004F35AD"/>
    <w:rsid w:val="005013F8"/>
    <w:rsid w:val="0058443C"/>
    <w:rsid w:val="005B4891"/>
    <w:rsid w:val="005E449D"/>
    <w:rsid w:val="00682CD2"/>
    <w:rsid w:val="00696520"/>
    <w:rsid w:val="006C61C1"/>
    <w:rsid w:val="006C7777"/>
    <w:rsid w:val="0070006F"/>
    <w:rsid w:val="007D48A2"/>
    <w:rsid w:val="00877C46"/>
    <w:rsid w:val="008834D9"/>
    <w:rsid w:val="008A72FC"/>
    <w:rsid w:val="008C2E1E"/>
    <w:rsid w:val="008F6B3D"/>
    <w:rsid w:val="00A1138E"/>
    <w:rsid w:val="00A228C3"/>
    <w:rsid w:val="00A72F03"/>
    <w:rsid w:val="00A73209"/>
    <w:rsid w:val="00AF145A"/>
    <w:rsid w:val="00B4425A"/>
    <w:rsid w:val="00B50C10"/>
    <w:rsid w:val="00B65EC2"/>
    <w:rsid w:val="00B72836"/>
    <w:rsid w:val="00B93DAA"/>
    <w:rsid w:val="00BD316C"/>
    <w:rsid w:val="00C30E4E"/>
    <w:rsid w:val="00CA13CE"/>
    <w:rsid w:val="00DD6859"/>
    <w:rsid w:val="00E07CED"/>
    <w:rsid w:val="00E539A3"/>
    <w:rsid w:val="00E7400E"/>
    <w:rsid w:val="00E93CD3"/>
    <w:rsid w:val="00EC08A8"/>
    <w:rsid w:val="00EC5CAC"/>
    <w:rsid w:val="00F21F74"/>
    <w:rsid w:val="00F468C1"/>
    <w:rsid w:val="00F7312D"/>
    <w:rsid w:val="00FD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2</cp:revision>
  <dcterms:created xsi:type="dcterms:W3CDTF">2022-04-03T20:38:00Z</dcterms:created>
  <dcterms:modified xsi:type="dcterms:W3CDTF">2022-04-03T20:38:00Z</dcterms:modified>
</cp:coreProperties>
</file>